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09DA4" w14:textId="77777777" w:rsidR="00D5547E" w:rsidRPr="009E51FC" w:rsidRDefault="00D5547E" w:rsidP="004A6D2F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w:rsidR="00CE544A" w:rsidRPr="00975B07" w14:paraId="39FC42D3" w14:textId="77777777" w:rsidTr="005F7F7E">
        <w:tc>
          <w:tcPr>
            <w:tcW w:w="2438" w:type="dxa"/>
            <w:shd w:val="clear" w:color="auto" w:fill="auto"/>
          </w:tcPr>
          <w:p w14:paraId="35BC7A18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To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14:paraId="1AA4A936" w14:textId="77777777" w:rsidR="00F445B1" w:rsidRPr="00F95BC9" w:rsidRDefault="00BD77A8" w:rsidP="004A6D2F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Chief Executive</w:t>
            </w:r>
          </w:p>
        </w:tc>
      </w:tr>
      <w:tr w:rsidR="00CE544A" w:rsidRPr="00975B07" w14:paraId="79FB3EC2" w14:textId="77777777" w:rsidTr="005F7F7E">
        <w:tc>
          <w:tcPr>
            <w:tcW w:w="2438" w:type="dxa"/>
            <w:shd w:val="clear" w:color="auto" w:fill="auto"/>
          </w:tcPr>
          <w:p w14:paraId="1D9C7A10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="005C35A5" w:rsidRPr="00975B07">
              <w:rPr>
                <w:rStyle w:val="Firstpagetablebold"/>
              </w:rPr>
              <w:t>e:</w:t>
            </w:r>
          </w:p>
        </w:tc>
        <w:tc>
          <w:tcPr>
            <w:tcW w:w="6406" w:type="dxa"/>
            <w:shd w:val="clear" w:color="auto" w:fill="auto"/>
          </w:tcPr>
          <w:p w14:paraId="17037063" w14:textId="2D9AABA4" w:rsidR="00F445B1" w:rsidRPr="001356F1" w:rsidRDefault="00E73CA1" w:rsidP="005D0621">
            <w:pPr>
              <w:rPr>
                <w:b/>
              </w:rPr>
            </w:pPr>
            <w:r>
              <w:rPr>
                <w:rStyle w:val="Firstpagetablebold"/>
              </w:rPr>
              <w:t>22 April 2021</w:t>
            </w:r>
          </w:p>
        </w:tc>
      </w:tr>
      <w:tr w:rsidR="00CE544A" w:rsidRPr="00975B07" w14:paraId="0B45C114" w14:textId="77777777" w:rsidTr="005F7F7E">
        <w:tc>
          <w:tcPr>
            <w:tcW w:w="2438" w:type="dxa"/>
            <w:shd w:val="clear" w:color="auto" w:fill="auto"/>
          </w:tcPr>
          <w:p w14:paraId="36A38C8B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14:paraId="3B5371E9" w14:textId="77777777" w:rsidR="00F445B1" w:rsidRPr="001356F1" w:rsidRDefault="00BD77A8" w:rsidP="004A6D2F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Stephen Clarke, Head of Housing Services</w:t>
            </w:r>
          </w:p>
        </w:tc>
      </w:tr>
      <w:tr w:rsidR="00CE544A" w:rsidRPr="00975B07" w14:paraId="411E969E" w14:textId="77777777" w:rsidTr="005F7F7E">
        <w:tc>
          <w:tcPr>
            <w:tcW w:w="2438" w:type="dxa"/>
            <w:shd w:val="clear" w:color="auto" w:fill="auto"/>
          </w:tcPr>
          <w:p w14:paraId="0E0CD00B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  <w:shd w:val="clear" w:color="auto" w:fill="auto"/>
          </w:tcPr>
          <w:p w14:paraId="1C95FD2E" w14:textId="77777777" w:rsidR="00F445B1" w:rsidRPr="001356F1" w:rsidRDefault="00F85AD3" w:rsidP="00F85AD3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The setting of rent levels for shared ownership properties at Rose Hill owned by Oxford City Council</w:t>
            </w:r>
            <w:r w:rsidR="007A111E">
              <w:rPr>
                <w:rStyle w:val="Firstpagetablebold"/>
              </w:rPr>
              <w:t>.</w:t>
            </w:r>
          </w:p>
        </w:tc>
      </w:tr>
    </w:tbl>
    <w:p w14:paraId="4D84FB1F" w14:textId="77777777" w:rsidR="004F20EF" w:rsidRDefault="004F20EF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0"/>
        <w:gridCol w:w="2032"/>
        <w:gridCol w:w="6472"/>
      </w:tblGrid>
      <w:tr w:rsidR="00D5547E" w14:paraId="5A84DB87" w14:textId="77777777" w:rsidTr="00F85AD3">
        <w:trPr>
          <w:trHeight w:val="333"/>
        </w:trPr>
        <w:tc>
          <w:tcPr>
            <w:tcW w:w="8934" w:type="dxa"/>
            <w:gridSpan w:val="3"/>
            <w:tcBorders>
              <w:bottom w:val="single" w:sz="8" w:space="0" w:color="000000"/>
            </w:tcBorders>
            <w:hideMark/>
          </w:tcPr>
          <w:p w14:paraId="01A2B84C" w14:textId="77777777" w:rsidR="00D5547E" w:rsidRDefault="00745BF0" w:rsidP="00745BF0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w:rsidR="00D5547E" w14:paraId="319B1E52" w14:textId="77777777" w:rsidTr="00F85AD3">
        <w:trPr>
          <w:trHeight w:val="809"/>
        </w:trPr>
        <w:tc>
          <w:tcPr>
            <w:tcW w:w="24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35E6B26C" w14:textId="77777777" w:rsidR="00D5547E" w:rsidRDefault="00D5547E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Purpose of report:</w:t>
            </w:r>
          </w:p>
        </w:tc>
        <w:tc>
          <w:tcPr>
            <w:tcW w:w="647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6E579925" w14:textId="77777777" w:rsidR="00D5547E" w:rsidRPr="001356F1" w:rsidRDefault="00F85AD3" w:rsidP="00DB7AD7">
            <w:r>
              <w:t>To enable the council to take the urgent decision to set the amount of rent for the shared ownership properties being delivered at Rose Hill</w:t>
            </w:r>
          </w:p>
        </w:tc>
      </w:tr>
      <w:tr w:rsidR="00D5547E" w14:paraId="3D77108A" w14:textId="77777777" w:rsidTr="00F85AD3">
        <w:trPr>
          <w:trHeight w:val="342"/>
        </w:trPr>
        <w:tc>
          <w:tcPr>
            <w:tcW w:w="24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6E70FA0" w14:textId="77777777" w:rsidR="00D5547E" w:rsidRDefault="00D5547E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94F2CD1" w14:textId="2CDAFC4A" w:rsidR="00D5547E" w:rsidRPr="001356F1" w:rsidRDefault="00F115FE" w:rsidP="00B61087">
            <w:r>
              <w:t>No</w:t>
            </w:r>
          </w:p>
        </w:tc>
      </w:tr>
      <w:tr w:rsidR="00D5547E" w14:paraId="7356D552" w14:textId="77777777" w:rsidTr="00F85AD3">
        <w:trPr>
          <w:trHeight w:val="1151"/>
        </w:trPr>
        <w:tc>
          <w:tcPr>
            <w:tcW w:w="24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BC243F8" w14:textId="77777777" w:rsidR="00D5547E" w:rsidRDefault="00D860E2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Cabinet</w:t>
            </w:r>
            <w:r w:rsidR="00D5547E">
              <w:rPr>
                <w:rStyle w:val="Firstpagetablebold"/>
              </w:rPr>
              <w:t xml:space="preserve"> Member: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6B63FAA" w14:textId="77777777" w:rsidR="00F85AD3" w:rsidRDefault="00F85AD3" w:rsidP="005F7F7E">
            <w:r>
              <w:t xml:space="preserve">Councillor Ed Turner, Deputy Leader and Cabinet Member for Finance and Asset Management </w:t>
            </w:r>
          </w:p>
          <w:p w14:paraId="18B50393" w14:textId="77777777" w:rsidR="00D5547E" w:rsidRPr="001356F1" w:rsidRDefault="00F85AD3" w:rsidP="005F7F7E">
            <w:r>
              <w:t xml:space="preserve">Councillor Mike Rowley, Cabinet Member for Affordable Housing, </w:t>
            </w:r>
          </w:p>
        </w:tc>
      </w:tr>
      <w:tr w:rsidR="0080749A" w14:paraId="0B008653" w14:textId="77777777" w:rsidTr="00F85AD3">
        <w:trPr>
          <w:trHeight w:val="342"/>
        </w:trPr>
        <w:tc>
          <w:tcPr>
            <w:tcW w:w="24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542B076" w14:textId="77777777" w:rsidR="0080749A" w:rsidRDefault="0080749A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A787A81" w14:textId="77777777" w:rsidR="0080749A" w:rsidRPr="001356F1" w:rsidRDefault="00F85AD3" w:rsidP="005F7F7E">
            <w:r>
              <w:t>Deliver M</w:t>
            </w:r>
            <w:r w:rsidR="00314B2D">
              <w:t>ore</w:t>
            </w:r>
            <w:r>
              <w:t>,</w:t>
            </w:r>
            <w:r w:rsidR="00314B2D">
              <w:t xml:space="preserve"> </w:t>
            </w:r>
            <w:r>
              <w:t>Affordable</w:t>
            </w:r>
            <w:r w:rsidR="00314B2D">
              <w:t xml:space="preserve"> Housing</w:t>
            </w:r>
          </w:p>
        </w:tc>
      </w:tr>
      <w:tr w:rsidR="00D5547E" w14:paraId="6D73DE52" w14:textId="77777777" w:rsidTr="00F85AD3">
        <w:trPr>
          <w:trHeight w:val="342"/>
        </w:trPr>
        <w:tc>
          <w:tcPr>
            <w:tcW w:w="24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E2DE15D" w14:textId="77777777" w:rsidR="00D5547E" w:rsidRDefault="00D5547E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12B8401" w14:textId="77777777" w:rsidR="00D5547E" w:rsidRPr="001356F1" w:rsidRDefault="00314B2D" w:rsidP="005F7F7E">
            <w:r>
              <w:t>Housing &amp; Homelessness Strategy</w:t>
            </w:r>
          </w:p>
        </w:tc>
      </w:tr>
      <w:tr w:rsidR="005F7F7E" w:rsidRPr="00975B07" w14:paraId="4FA4E5C7" w14:textId="77777777" w:rsidTr="00F85AD3">
        <w:trPr>
          <w:trHeight w:val="354"/>
        </w:trPr>
        <w:tc>
          <w:tcPr>
            <w:tcW w:w="8934" w:type="dxa"/>
            <w:gridSpan w:val="3"/>
            <w:tcBorders>
              <w:bottom w:val="single" w:sz="8" w:space="0" w:color="000000"/>
            </w:tcBorders>
          </w:tcPr>
          <w:p w14:paraId="1124E654" w14:textId="77777777" w:rsidR="005F7F7E" w:rsidRPr="00975B07" w:rsidRDefault="005F7F7E" w:rsidP="00F85AD3">
            <w:r>
              <w:rPr>
                <w:rStyle w:val="Firstpagetablebold"/>
              </w:rPr>
              <w:t>Recommendation(s):</w:t>
            </w:r>
          </w:p>
        </w:tc>
      </w:tr>
      <w:tr w:rsidR="0030208D" w:rsidRPr="00975B07" w14:paraId="7A5788DE" w14:textId="77777777" w:rsidTr="00F85AD3">
        <w:trPr>
          <w:trHeight w:val="24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40FE527" w14:textId="77777777" w:rsidR="0030208D" w:rsidRPr="00975B07" w:rsidRDefault="00046D2B" w:rsidP="004A6D2F">
            <w:r w:rsidRPr="00975B07">
              <w:t>1.</w:t>
            </w:r>
          </w:p>
        </w:tc>
        <w:tc>
          <w:tcPr>
            <w:tcW w:w="85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0D6C52F" w14:textId="2C3F8EDD" w:rsidR="0030208D" w:rsidRPr="0066250E" w:rsidRDefault="00F85AD3" w:rsidP="00B61087">
            <w:pPr>
              <w:rPr>
                <w:b/>
              </w:rPr>
            </w:pPr>
            <w:r w:rsidRPr="00F85AD3">
              <w:rPr>
                <w:rStyle w:val="Firstpagetablebold"/>
              </w:rPr>
              <w:t>That the Chief Executive, in consultatio</w:t>
            </w:r>
            <w:r>
              <w:rPr>
                <w:rStyle w:val="Firstpagetablebold"/>
              </w:rPr>
              <w:t>n with the cabinet members for F</w:t>
            </w:r>
            <w:r w:rsidRPr="00F85AD3">
              <w:rPr>
                <w:rStyle w:val="Firstpagetablebold"/>
              </w:rPr>
              <w:t xml:space="preserve">inance and </w:t>
            </w:r>
            <w:r>
              <w:rPr>
                <w:rStyle w:val="Firstpagetablebold"/>
              </w:rPr>
              <w:t>Affordable H</w:t>
            </w:r>
            <w:r w:rsidRPr="00F85AD3">
              <w:rPr>
                <w:rStyle w:val="Firstpagetablebold"/>
              </w:rPr>
              <w:t>ousing, use her urgent powers to make the d</w:t>
            </w:r>
            <w:r w:rsidR="0066250E">
              <w:rPr>
                <w:rStyle w:val="Firstpagetablebold"/>
              </w:rPr>
              <w:t>ecision to set the rent levels for</w:t>
            </w:r>
            <w:r w:rsidRPr="00F85AD3">
              <w:rPr>
                <w:rStyle w:val="Firstpagetablebold"/>
              </w:rPr>
              <w:t xml:space="preserve"> the 25 shared ownership properties at </w:t>
            </w:r>
            <w:r w:rsidR="00B61087">
              <w:rPr>
                <w:rStyle w:val="Firstpagetablebold"/>
              </w:rPr>
              <w:t xml:space="preserve">the two development sites at </w:t>
            </w:r>
            <w:r w:rsidRPr="00F85AD3">
              <w:rPr>
                <w:rStyle w:val="Firstpagetablebold"/>
              </w:rPr>
              <w:t>Rose Hill</w:t>
            </w:r>
            <w:r w:rsidR="0066250E">
              <w:rPr>
                <w:rStyle w:val="Firstpagetablebold"/>
              </w:rPr>
              <w:t xml:space="preserve"> </w:t>
            </w:r>
            <w:r w:rsidRPr="00F85AD3">
              <w:rPr>
                <w:rStyle w:val="Firstpagetablebold"/>
              </w:rPr>
              <w:t>at 2% of</w:t>
            </w:r>
            <w:r w:rsidR="0066250E">
              <w:rPr>
                <w:rStyle w:val="Firstpagetablebold"/>
              </w:rPr>
              <w:t xml:space="preserve"> the value of</w:t>
            </w:r>
            <w:r w:rsidRPr="00F85AD3">
              <w:rPr>
                <w:rStyle w:val="Firstpagetablebold"/>
              </w:rPr>
              <w:t xml:space="preserve"> the unsold equity share, which will be followed by report to Cabinet in June to determine the rent</w:t>
            </w:r>
            <w:r w:rsidR="007A111E">
              <w:rPr>
                <w:rStyle w:val="Firstpagetablebold"/>
              </w:rPr>
              <w:t xml:space="preserve"> policy</w:t>
            </w:r>
            <w:r w:rsidRPr="00F85AD3">
              <w:rPr>
                <w:rStyle w:val="Firstpagetablebold"/>
              </w:rPr>
              <w:t xml:space="preserve"> for future shared ownership schemes.</w:t>
            </w:r>
          </w:p>
        </w:tc>
      </w:tr>
      <w:tr w:rsidR="0030208D" w:rsidRPr="00975B07" w14:paraId="784D7C57" w14:textId="77777777" w:rsidTr="00F85AD3">
        <w:trPr>
          <w:trHeight w:val="243"/>
        </w:trPr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B2AA2F7" w14:textId="77777777" w:rsidR="0030208D" w:rsidRPr="00975B07" w:rsidRDefault="0030208D" w:rsidP="004A6D2F"/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DBA8A02" w14:textId="77777777" w:rsidR="0030208D" w:rsidRPr="001356F1" w:rsidRDefault="0030208D" w:rsidP="002069B3"/>
        </w:tc>
      </w:tr>
      <w:tr w:rsidR="00232F5B" w:rsidRPr="00975B07" w14:paraId="6F701E31" w14:textId="77777777" w:rsidTr="00F85AD3">
        <w:trPr>
          <w:trHeight w:val="243"/>
        </w:trPr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A7FB22" w14:textId="77777777" w:rsidR="0030208D" w:rsidRPr="00975B07" w:rsidRDefault="0030208D" w:rsidP="004A6D2F"/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A5A25FC" w14:textId="77777777" w:rsidR="0030208D" w:rsidRPr="001356F1" w:rsidRDefault="0030208D" w:rsidP="002069B3"/>
        </w:tc>
      </w:tr>
      <w:tr w:rsidR="00232F5B" w:rsidRPr="00975B07" w14:paraId="22A9A9F9" w14:textId="77777777" w:rsidTr="00F85AD3">
        <w:trPr>
          <w:trHeight w:val="243"/>
        </w:trPr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B434280" w14:textId="77777777" w:rsidR="0030208D" w:rsidRPr="00975B07" w:rsidRDefault="0030208D" w:rsidP="004A6D2F"/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E5AF65A" w14:textId="77777777" w:rsidR="0030208D" w:rsidRPr="001356F1" w:rsidRDefault="0030208D" w:rsidP="002069B3"/>
        </w:tc>
      </w:tr>
      <w:tr w:rsidR="00232F5B" w:rsidRPr="00975B07" w14:paraId="006B9DB1" w14:textId="77777777" w:rsidTr="00F85AD3">
        <w:trPr>
          <w:trHeight w:val="54"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1EA6FAD" w14:textId="77777777" w:rsidR="0030208D" w:rsidRPr="00975B07" w:rsidRDefault="0030208D" w:rsidP="004A6D2F"/>
        </w:tc>
        <w:tc>
          <w:tcPr>
            <w:tcW w:w="85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CB1EDB" w14:textId="77777777" w:rsidR="0030208D" w:rsidRPr="001356F1" w:rsidRDefault="0030208D" w:rsidP="00247C29"/>
        </w:tc>
      </w:tr>
    </w:tbl>
    <w:p w14:paraId="3B8D3298" w14:textId="77777777" w:rsidR="00CE544A" w:rsidRPr="009E51FC" w:rsidRDefault="00CE544A" w:rsidP="004A6D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966D42" w:rsidRPr="00975B07" w14:paraId="0C1A9934" w14:textId="77777777" w:rsidTr="00A46E98"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DAB9E7" w14:textId="77777777" w:rsidR="00966D42" w:rsidRPr="00975B07" w:rsidRDefault="00966D42" w:rsidP="00263EA3">
            <w:pPr>
              <w:jc w:val="center"/>
            </w:pPr>
            <w:r w:rsidRPr="00745BF0">
              <w:rPr>
                <w:rStyle w:val="Firstpagetablebold"/>
              </w:rPr>
              <w:t>Appendices</w:t>
            </w:r>
          </w:p>
        </w:tc>
      </w:tr>
      <w:tr w:rsidR="00E73CA1" w:rsidRPr="00975B07" w14:paraId="3A1F5FA7" w14:textId="77777777" w:rsidTr="00A46E98"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68F2D" w14:textId="60A56D3F" w:rsidR="00E73CA1" w:rsidRPr="00E73CA1" w:rsidRDefault="00E73CA1" w:rsidP="00E73CA1">
            <w:pPr>
              <w:rPr>
                <w:rStyle w:val="Firstpagetablebold"/>
                <w:b w:val="0"/>
              </w:rPr>
            </w:pPr>
            <w:r w:rsidRPr="00E73CA1">
              <w:rPr>
                <w:rStyle w:val="Firstpagetablebold"/>
                <w:b w:val="0"/>
              </w:rPr>
              <w:t>None</w:t>
            </w:r>
          </w:p>
        </w:tc>
      </w:tr>
    </w:tbl>
    <w:p w14:paraId="264BE920" w14:textId="77777777" w:rsidR="0066250E" w:rsidRDefault="0066250E" w:rsidP="0066250E"/>
    <w:p w14:paraId="455CF316" w14:textId="77777777" w:rsidR="00E73CA1" w:rsidRDefault="00E73CA1" w:rsidP="0066250E">
      <w:pPr>
        <w:rPr>
          <w:b/>
        </w:rPr>
      </w:pPr>
    </w:p>
    <w:p w14:paraId="493B35C9" w14:textId="77777777" w:rsidR="0066250E" w:rsidRPr="00920088" w:rsidRDefault="0066250E" w:rsidP="0066250E">
      <w:pPr>
        <w:rPr>
          <w:b/>
        </w:rPr>
      </w:pPr>
      <w:r w:rsidRPr="00920088">
        <w:rPr>
          <w:b/>
        </w:rPr>
        <w:lastRenderedPageBreak/>
        <w:t>Introduction and background</w:t>
      </w:r>
    </w:p>
    <w:p w14:paraId="7F8B2C98" w14:textId="65AAFD53" w:rsidR="0066250E" w:rsidRDefault="0066250E" w:rsidP="00411B53">
      <w:pPr>
        <w:pStyle w:val="ListParagraph"/>
        <w:numPr>
          <w:ilvl w:val="0"/>
          <w:numId w:val="34"/>
        </w:numPr>
        <w:spacing w:after="160" w:line="259" w:lineRule="auto"/>
        <w:contextualSpacing/>
      </w:pPr>
      <w:r>
        <w:t xml:space="preserve">The City Council </w:t>
      </w:r>
      <w:r w:rsidR="00551C98">
        <w:t>in the coming months will take ownership of</w:t>
      </w:r>
      <w:r w:rsidR="00411B53">
        <w:t xml:space="preserve"> a number of </w:t>
      </w:r>
      <w:r>
        <w:t xml:space="preserve">shared </w:t>
      </w:r>
      <w:r w:rsidR="00411B53">
        <w:t>ownership</w:t>
      </w:r>
      <w:r>
        <w:t xml:space="preserve"> homes</w:t>
      </w:r>
      <w:r w:rsidR="00411B53">
        <w:t xml:space="preserve"> in Oxford, the first to be directly owned by the </w:t>
      </w:r>
      <w:r w:rsidR="00B61087">
        <w:t>C</w:t>
      </w:r>
      <w:r w:rsidR="00411B53">
        <w:t>ouncil</w:t>
      </w:r>
      <w:r>
        <w:t>. These homes are being built by the City Council’s housing company, Oxford City Housing Ltd</w:t>
      </w:r>
      <w:r w:rsidR="007A111E">
        <w:t>.</w:t>
      </w:r>
      <w:r>
        <w:t xml:space="preserve"> (OCHL), and </w:t>
      </w:r>
      <w:r w:rsidR="00411B53">
        <w:t xml:space="preserve">will </w:t>
      </w:r>
      <w:r>
        <w:t xml:space="preserve">then be taken into ownership directly by the </w:t>
      </w:r>
      <w:r w:rsidR="00B61087">
        <w:t>C</w:t>
      </w:r>
      <w:r>
        <w:t xml:space="preserve">ouncil’s </w:t>
      </w:r>
      <w:r w:rsidR="00411B53">
        <w:t>Housing</w:t>
      </w:r>
      <w:r>
        <w:t xml:space="preserve"> Revenue Account (HRA).  In order to advertise and sell these properties a decision is required on what rent </w:t>
      </w:r>
      <w:r w:rsidR="007A111E">
        <w:t xml:space="preserve">level to set </w:t>
      </w:r>
      <w:r>
        <w:t xml:space="preserve">on the unsold equity of each property. </w:t>
      </w:r>
    </w:p>
    <w:p w14:paraId="193AB57D" w14:textId="77777777" w:rsidR="0066250E" w:rsidRDefault="0066250E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Increasing the </w:t>
      </w:r>
      <w:r w:rsidR="00411B53">
        <w:t>delivery</w:t>
      </w:r>
      <w:r>
        <w:t xml:space="preserve"> of </w:t>
      </w:r>
      <w:r w:rsidR="00551C98">
        <w:t xml:space="preserve">different forms of </w:t>
      </w:r>
      <w:r>
        <w:t xml:space="preserve">affordable </w:t>
      </w:r>
      <w:r w:rsidR="00551C98">
        <w:t>accommodation</w:t>
      </w:r>
      <w:r>
        <w:t xml:space="preserve"> to meet the </w:t>
      </w:r>
      <w:r w:rsidR="00551C98">
        <w:t>affordability</w:t>
      </w:r>
      <w:r>
        <w:t xml:space="preserve"> </w:t>
      </w:r>
      <w:r w:rsidR="00551C98">
        <w:t>challenges</w:t>
      </w:r>
      <w:r>
        <w:t xml:space="preserve"> of the Oxford housing market is a key </w:t>
      </w:r>
      <w:r w:rsidR="00551C98">
        <w:t>priority for</w:t>
      </w:r>
      <w:r>
        <w:t xml:space="preserve"> the City Council. This aim was set out in the current </w:t>
      </w:r>
      <w:r w:rsidR="00551C98">
        <w:t>Housing</w:t>
      </w:r>
      <w:r>
        <w:t xml:space="preserve"> and </w:t>
      </w:r>
      <w:r w:rsidR="00551C98">
        <w:t>Homelessness</w:t>
      </w:r>
      <w:r>
        <w:t xml:space="preserve"> </w:t>
      </w:r>
      <w:r w:rsidR="00551C98">
        <w:t>Strategy</w:t>
      </w:r>
      <w:r>
        <w:t xml:space="preserve"> 2018-21, and </w:t>
      </w:r>
      <w:r w:rsidR="00551C98">
        <w:t>reaffirmed</w:t>
      </w:r>
      <w:r>
        <w:t xml:space="preserve"> in the </w:t>
      </w:r>
      <w:r w:rsidR="00551C98">
        <w:t>Corporate</w:t>
      </w:r>
      <w:r>
        <w:t xml:space="preserve"> </w:t>
      </w:r>
      <w:r w:rsidR="00551C98">
        <w:t>Strategy</w:t>
      </w:r>
      <w:r>
        <w:t xml:space="preserve"> 2020, </w:t>
      </w:r>
      <w:r w:rsidR="00551C98">
        <w:t>within</w:t>
      </w:r>
      <w:r>
        <w:t xml:space="preserve"> the priority of Delivering More, Affordable Homes. Central to this aim is the delivery of affordable rental properties, in </w:t>
      </w:r>
      <w:r w:rsidR="00551C98">
        <w:t>particular</w:t>
      </w:r>
      <w:r>
        <w:t xml:space="preserve"> at social rents, but other intermediate affordable housing </w:t>
      </w:r>
      <w:r w:rsidR="00551C98">
        <w:t>products</w:t>
      </w:r>
      <w:r>
        <w:t xml:space="preserve"> were also </w:t>
      </w:r>
      <w:r w:rsidR="00551C98">
        <w:t>recognised</w:t>
      </w:r>
      <w:r>
        <w:t xml:space="preserve"> such as shared ownership </w:t>
      </w:r>
      <w:r w:rsidR="00551C98">
        <w:t>properties</w:t>
      </w:r>
      <w:r w:rsidR="007A111E">
        <w:t>, with a variety of</w:t>
      </w:r>
      <w:r>
        <w:t xml:space="preserve"> </w:t>
      </w:r>
      <w:r w:rsidR="00551C98">
        <w:t>options</w:t>
      </w:r>
      <w:r>
        <w:t xml:space="preserve"> needed to meet the</w:t>
      </w:r>
      <w:r w:rsidR="007A111E">
        <w:t xml:space="preserve"> different circumstances </w:t>
      </w:r>
      <w:r w:rsidR="00551C98">
        <w:t>of the city’s population.</w:t>
      </w:r>
    </w:p>
    <w:p w14:paraId="7C513008" w14:textId="60A6F7E8" w:rsidR="00551C98" w:rsidRDefault="0066250E" w:rsidP="00551C98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The shared ownership units </w:t>
      </w:r>
      <w:r w:rsidR="00551C98">
        <w:t xml:space="preserve">currently </w:t>
      </w:r>
      <w:r>
        <w:t xml:space="preserve">being developed by OCHL </w:t>
      </w:r>
      <w:r w:rsidR="00551C98">
        <w:t>will be the first of this tenure type owned by the council</w:t>
      </w:r>
      <w:r>
        <w:t>. There are 25 units being developed, a mixture of 1-</w:t>
      </w:r>
      <w:r w:rsidR="00551C98">
        <w:t xml:space="preserve">2 bedrooms, at </w:t>
      </w:r>
      <w:r w:rsidR="00B61087">
        <w:t>two</w:t>
      </w:r>
      <w:r w:rsidR="00551C98">
        <w:t xml:space="preserve"> site</w:t>
      </w:r>
      <w:r w:rsidR="00B61087">
        <w:t>s</w:t>
      </w:r>
      <w:r w:rsidR="00551C98">
        <w:t xml:space="preserve"> in</w:t>
      </w:r>
      <w:r>
        <w:t xml:space="preserve"> Rose Hill. </w:t>
      </w:r>
      <w:r w:rsidR="00551C98">
        <w:t>The City C</w:t>
      </w:r>
      <w:r>
        <w:t xml:space="preserve">ouncil through its HRA will own and manage the properties once they have been handed over. OCHL has developed the properties, and will </w:t>
      </w:r>
      <w:r w:rsidR="00551C98">
        <w:t>market</w:t>
      </w:r>
      <w:r>
        <w:t xml:space="preserve"> them on </w:t>
      </w:r>
      <w:r w:rsidR="00551C98">
        <w:t>behalf of</w:t>
      </w:r>
      <w:r>
        <w:t xml:space="preserve"> the </w:t>
      </w:r>
      <w:r w:rsidR="00B61087">
        <w:t>C</w:t>
      </w:r>
      <w:r>
        <w:t xml:space="preserve">ouncil. </w:t>
      </w:r>
      <w:r w:rsidR="00551C98">
        <w:t xml:space="preserve">The homes are intended to be </w:t>
      </w:r>
      <w:r>
        <w:t xml:space="preserve">handed over to the </w:t>
      </w:r>
      <w:r w:rsidR="00B61087">
        <w:t>C</w:t>
      </w:r>
      <w:r w:rsidR="00551C98">
        <w:t>ouncil</w:t>
      </w:r>
      <w:r>
        <w:t xml:space="preserve"> in June, and are being marketed now. As part of this marketing </w:t>
      </w:r>
      <w:r w:rsidR="00551C98">
        <w:t>exercise</w:t>
      </w:r>
      <w:r>
        <w:t xml:space="preserve"> the </w:t>
      </w:r>
      <w:r w:rsidR="00B61087">
        <w:t>C</w:t>
      </w:r>
      <w:r>
        <w:t xml:space="preserve">ouncil and OCHL need to tell prospective </w:t>
      </w:r>
      <w:r w:rsidR="00551C98">
        <w:t>buyers</w:t>
      </w:r>
      <w:r>
        <w:t xml:space="preserve"> what the purchase price will</w:t>
      </w:r>
      <w:r w:rsidR="00551C98">
        <w:t xml:space="preserve"> be</w:t>
      </w:r>
      <w:r>
        <w:t xml:space="preserve">, alongside ongoing rent and service charges. This is to inform the purchaser, but also to allow for the </w:t>
      </w:r>
      <w:r w:rsidR="00551C98">
        <w:t>necessary</w:t>
      </w:r>
      <w:r>
        <w:t xml:space="preserve"> affordability checks.</w:t>
      </w:r>
    </w:p>
    <w:p w14:paraId="51ACA8E1" w14:textId="77777777" w:rsidR="00551C98" w:rsidRDefault="00551C98" w:rsidP="00551C98">
      <w:pPr>
        <w:pStyle w:val="ListParagraph"/>
        <w:numPr>
          <w:ilvl w:val="0"/>
          <w:numId w:val="0"/>
        </w:numPr>
        <w:tabs>
          <w:tab w:val="clear" w:pos="426"/>
        </w:tabs>
        <w:spacing w:after="160" w:line="259" w:lineRule="auto"/>
        <w:ind w:left="720"/>
        <w:contextualSpacing/>
      </w:pPr>
    </w:p>
    <w:p w14:paraId="67D790E2" w14:textId="77777777" w:rsidR="00551C98" w:rsidRDefault="00551C98" w:rsidP="00551C98">
      <w:pPr>
        <w:spacing w:after="160" w:line="259" w:lineRule="auto"/>
        <w:contextualSpacing/>
      </w:pPr>
      <w:r w:rsidRPr="00551C98">
        <w:rPr>
          <w:b/>
        </w:rPr>
        <w:t>Setting Shared Ownership Rent</w:t>
      </w:r>
    </w:p>
    <w:p w14:paraId="53DE2370" w14:textId="00816111" w:rsidR="0066250E" w:rsidRDefault="00551C98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>Buyers</w:t>
      </w:r>
      <w:r w:rsidR="0066250E">
        <w:t xml:space="preserve"> of shared ownership properties will </w:t>
      </w:r>
      <w:r w:rsidR="00CD4178">
        <w:t>buy</w:t>
      </w:r>
      <w:r w:rsidR="0066250E">
        <w:t xml:space="preserve"> an initial share of the property they own, which would normally be covered by a </w:t>
      </w:r>
      <w:r>
        <w:t>mortgage</w:t>
      </w:r>
      <w:r w:rsidR="0066250E">
        <w:t xml:space="preserve">, and then pay a rent on the </w:t>
      </w:r>
      <w:r>
        <w:t>remaining</w:t>
      </w:r>
      <w:r w:rsidR="0066250E">
        <w:t xml:space="preserve"> unsold share of the property to the landlord, who in this case will be the City Council. There will also </w:t>
      </w:r>
      <w:r>
        <w:t>normally</w:t>
      </w:r>
      <w:r w:rsidR="0066250E">
        <w:t xml:space="preserve"> be a service charge</w:t>
      </w:r>
      <w:r w:rsidR="003B56E4">
        <w:t>.</w:t>
      </w:r>
    </w:p>
    <w:p w14:paraId="0C026AC3" w14:textId="07A2D57D" w:rsidR="0066250E" w:rsidRPr="00C65864" w:rsidRDefault="0066250E" w:rsidP="00551C98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  <w:rPr>
          <w:color w:val="auto"/>
        </w:rPr>
      </w:pPr>
      <w:r>
        <w:t xml:space="preserve">The City Council owes a number of </w:t>
      </w:r>
      <w:r w:rsidR="00551C98">
        <w:t>properties</w:t>
      </w:r>
      <w:r>
        <w:t xml:space="preserve"> within its HRA, which have different rent formulas to determine the rent charge</w:t>
      </w:r>
      <w:r w:rsidR="00551C98">
        <w:t>, such as social rent, and affordable rent</w:t>
      </w:r>
      <w:r>
        <w:t xml:space="preserve">. </w:t>
      </w:r>
      <w:r w:rsidR="007A111E">
        <w:t>Many</w:t>
      </w:r>
      <w:r>
        <w:t xml:space="preserve"> </w:t>
      </w:r>
      <w:r w:rsidR="00551C98">
        <w:t>rents are initially</w:t>
      </w:r>
      <w:r>
        <w:t xml:space="preserve"> determined </w:t>
      </w:r>
      <w:r w:rsidR="00C65864">
        <w:t xml:space="preserve">or influenced </w:t>
      </w:r>
      <w:r>
        <w:t>by government formula</w:t>
      </w:r>
      <w:r w:rsidR="00C65864">
        <w:t>,</w:t>
      </w:r>
      <w:r w:rsidR="00551C98">
        <w:t xml:space="preserve"> such as </w:t>
      </w:r>
      <w:r w:rsidR="007A111E">
        <w:t xml:space="preserve">with </w:t>
      </w:r>
      <w:r w:rsidR="00551C98">
        <w:t>social rent</w:t>
      </w:r>
      <w:r>
        <w:t xml:space="preserve">. </w:t>
      </w:r>
      <w:r w:rsidR="00C65864">
        <w:t xml:space="preserve">Within this framework of certain nationally prescribed rent setting rules, </w:t>
      </w:r>
      <w:r>
        <w:t>rents are then</w:t>
      </w:r>
      <w:r w:rsidR="00C65864">
        <w:t xml:space="preserve"> set and</w:t>
      </w:r>
      <w:r>
        <w:t xml:space="preserve"> adjusted </w:t>
      </w:r>
      <w:r w:rsidR="00CD4178">
        <w:t>each year</w:t>
      </w:r>
      <w:r>
        <w:t xml:space="preserve"> through the </w:t>
      </w:r>
      <w:r w:rsidR="00C65864">
        <w:t>C</w:t>
      </w:r>
      <w:r>
        <w:t xml:space="preserve">ouncil’s annual budget, </w:t>
      </w:r>
      <w:r w:rsidR="00C65864">
        <w:t xml:space="preserve">as outlined in </w:t>
      </w:r>
      <w:r w:rsidR="00C65864" w:rsidRPr="00C65864">
        <w:rPr>
          <w:rFonts w:cs="Arial"/>
          <w:color w:val="auto"/>
          <w:lang w:eastAsia="en-US"/>
        </w:rPr>
        <w:t>paragraph 18.8 of the Council</w:t>
      </w:r>
      <w:r w:rsidR="00C65864">
        <w:rPr>
          <w:rFonts w:cs="Arial"/>
          <w:color w:val="auto"/>
          <w:lang w:eastAsia="en-US"/>
        </w:rPr>
        <w:t>’</w:t>
      </w:r>
      <w:r w:rsidR="00C65864" w:rsidRPr="00C65864">
        <w:rPr>
          <w:rFonts w:cs="Arial"/>
          <w:color w:val="auto"/>
          <w:lang w:eastAsia="en-US"/>
        </w:rPr>
        <w:t>s Constitution.</w:t>
      </w:r>
    </w:p>
    <w:p w14:paraId="53C683F8" w14:textId="63D6FB19" w:rsidR="0066250E" w:rsidRDefault="0066250E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Shared Ownership rent is not covered by one of the existing rent </w:t>
      </w:r>
      <w:r w:rsidR="00CD4178">
        <w:t>formulas</w:t>
      </w:r>
      <w:r>
        <w:t xml:space="preserve"> the </w:t>
      </w:r>
      <w:r w:rsidR="00B61087">
        <w:t>C</w:t>
      </w:r>
      <w:r>
        <w:t xml:space="preserve">ouncil operates, so therefore has not been included in the normal annual review of rent levels </w:t>
      </w:r>
      <w:r w:rsidR="00CD4178">
        <w:t>agreed</w:t>
      </w:r>
      <w:r>
        <w:t xml:space="preserve"> by </w:t>
      </w:r>
      <w:r w:rsidR="00B61087">
        <w:t>C</w:t>
      </w:r>
      <w:r w:rsidR="00CD4178">
        <w:t>abinet</w:t>
      </w:r>
      <w:r>
        <w:t xml:space="preserve"> and </w:t>
      </w:r>
      <w:r w:rsidR="00B61087">
        <w:t>C</w:t>
      </w:r>
      <w:r>
        <w:t xml:space="preserve">ouncil. Shared </w:t>
      </w:r>
      <w:r w:rsidR="00CD4178">
        <w:t>ownership</w:t>
      </w:r>
      <w:r>
        <w:t xml:space="preserve"> rents are determined at the point a Red Book (RICS) surveyor </w:t>
      </w:r>
      <w:r w:rsidR="00CD4178">
        <w:t>determines</w:t>
      </w:r>
      <w:r>
        <w:t xml:space="preserve"> the </w:t>
      </w:r>
      <w:r w:rsidR="00CD4178">
        <w:t>value</w:t>
      </w:r>
      <w:r>
        <w:t xml:space="preserve"> of a property, and then the landlord sets a percentage of the </w:t>
      </w:r>
      <w:r w:rsidR="00CD4178">
        <w:t>value</w:t>
      </w:r>
      <w:r>
        <w:t xml:space="preserve"> of the unsold share of the pr</w:t>
      </w:r>
      <w:r w:rsidR="00CD4178">
        <w:t xml:space="preserve">operty as the rent, </w:t>
      </w:r>
      <w:r w:rsidR="003B56E4">
        <w:t xml:space="preserve">which </w:t>
      </w:r>
      <w:r w:rsidR="00CD4178">
        <w:t xml:space="preserve">is then outlined </w:t>
      </w:r>
      <w:r>
        <w:t xml:space="preserve">in the tenancy </w:t>
      </w:r>
      <w:r>
        <w:lastRenderedPageBreak/>
        <w:t>agreement.</w:t>
      </w:r>
      <w:r w:rsidR="00CD4178">
        <w:t xml:space="preserve"> The fact the council does not currently have a rent setting policy for shared ownership creates a problem for the marketing and sale of the new properties.</w:t>
      </w:r>
    </w:p>
    <w:p w14:paraId="01C1A5BA" w14:textId="496BDFAC" w:rsidR="0066250E" w:rsidRDefault="0066250E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While the </w:t>
      </w:r>
      <w:r w:rsidR="00B61087">
        <w:t>C</w:t>
      </w:r>
      <w:r>
        <w:t xml:space="preserve">ouncil doesn’t </w:t>
      </w:r>
      <w:r w:rsidR="007A111E">
        <w:t xml:space="preserve">currently </w:t>
      </w:r>
      <w:r>
        <w:t xml:space="preserve">have a set policy on shared ownership rent levels, the rent levels </w:t>
      </w:r>
      <w:r w:rsidR="00CD4178">
        <w:t xml:space="preserve">that </w:t>
      </w:r>
      <w:r w:rsidR="007A111E">
        <w:t>the council suggests should</w:t>
      </w:r>
      <w:r w:rsidR="00CD4178">
        <w:t xml:space="preserve"> be </w:t>
      </w:r>
      <w:r w:rsidR="007A111E">
        <w:t xml:space="preserve">set </w:t>
      </w:r>
      <w:r>
        <w:t>are covered in the City Council</w:t>
      </w:r>
      <w:r w:rsidR="00CD4178">
        <w:t>’</w:t>
      </w:r>
      <w:r>
        <w:t xml:space="preserve">s Tenancy </w:t>
      </w:r>
      <w:r w:rsidR="00CD4178">
        <w:t>Strategy</w:t>
      </w:r>
      <w:r w:rsidR="007A111E">
        <w:t xml:space="preserve"> 2018-23. The strategy</w:t>
      </w:r>
      <w:r>
        <w:t xml:space="preserve"> </w:t>
      </w:r>
      <w:r w:rsidR="00CD4178">
        <w:t>establishes</w:t>
      </w:r>
      <w:r>
        <w:t xml:space="preserve"> </w:t>
      </w:r>
      <w:r w:rsidR="00CD4178">
        <w:t>guidelines</w:t>
      </w:r>
      <w:r>
        <w:t xml:space="preserve"> and best practice for all social landlords when </w:t>
      </w:r>
      <w:r w:rsidR="00CD4178">
        <w:t>setting</w:t>
      </w:r>
      <w:r>
        <w:t xml:space="preserve"> their </w:t>
      </w:r>
      <w:r w:rsidR="00CD4178">
        <w:t>approach</w:t>
      </w:r>
      <w:r>
        <w:t xml:space="preserve"> to </w:t>
      </w:r>
      <w:r w:rsidR="00CD4178">
        <w:t>tenancies</w:t>
      </w:r>
      <w:r>
        <w:t xml:space="preserve"> and rent levels</w:t>
      </w:r>
      <w:r w:rsidR="007A111E">
        <w:t xml:space="preserve"> in Oxford</w:t>
      </w:r>
      <w:r>
        <w:t xml:space="preserve">. The Tenancy Strategy draws attention to the affordability </w:t>
      </w:r>
      <w:r w:rsidR="00CD4178">
        <w:t>challenge</w:t>
      </w:r>
      <w:r>
        <w:t xml:space="preserve"> for many in the city in affording shared ownership, and as a result set</w:t>
      </w:r>
      <w:r w:rsidR="00CD4178">
        <w:t>s</w:t>
      </w:r>
      <w:r>
        <w:t xml:space="preserve"> the </w:t>
      </w:r>
      <w:r w:rsidR="00CD4178">
        <w:t xml:space="preserve">guidance that rent levels in shared </w:t>
      </w:r>
      <w:r>
        <w:t xml:space="preserve">ownership should not go above 2% of the unsold share, unless there are viability issues. This would be below the </w:t>
      </w:r>
      <w:r w:rsidR="00CD4178">
        <w:t>industry</w:t>
      </w:r>
      <w:r>
        <w:t xml:space="preserve"> norm which is typically 2.75% to 3%.</w:t>
      </w:r>
    </w:p>
    <w:p w14:paraId="7CFF81DF" w14:textId="5275E772" w:rsidR="0066250E" w:rsidRDefault="0066250E" w:rsidP="00C65864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With the first handovers set for June, and the marketing on the </w:t>
      </w:r>
      <w:r w:rsidR="00CD4178">
        <w:t>properties</w:t>
      </w:r>
      <w:r>
        <w:t xml:space="preserve"> underway, the </w:t>
      </w:r>
      <w:r w:rsidR="00B61087">
        <w:t>C</w:t>
      </w:r>
      <w:r>
        <w:t>ouncil as landlord needs to set rent levels for these</w:t>
      </w:r>
      <w:r w:rsidR="00CD4178">
        <w:t xml:space="preserve"> properties. The normal way for</w:t>
      </w:r>
      <w:r>
        <w:t xml:space="preserve"> this to be done is for </w:t>
      </w:r>
      <w:r w:rsidR="003B56E4">
        <w:t>C</w:t>
      </w:r>
      <w:r w:rsidR="00CD4178">
        <w:t>abinet</w:t>
      </w:r>
      <w:r>
        <w:t xml:space="preserve"> and </w:t>
      </w:r>
      <w:r w:rsidR="003B56E4">
        <w:t>C</w:t>
      </w:r>
      <w:r>
        <w:t xml:space="preserve">ouncil to agree to the rent </w:t>
      </w:r>
      <w:r w:rsidR="00CD4178">
        <w:t>policy</w:t>
      </w:r>
      <w:r w:rsidR="00C65864">
        <w:t xml:space="preserve">, in line with </w:t>
      </w:r>
      <w:r w:rsidR="00C65864" w:rsidRPr="00C65864">
        <w:t>para</w:t>
      </w:r>
      <w:r w:rsidR="00C65864">
        <w:t>graph</w:t>
      </w:r>
      <w:r w:rsidR="00C65864" w:rsidRPr="00C65864">
        <w:t xml:space="preserve"> 18.8 of the Council</w:t>
      </w:r>
      <w:r w:rsidR="00C65864">
        <w:t>’</w:t>
      </w:r>
      <w:r w:rsidR="00C65864" w:rsidRPr="00C65864">
        <w:t>s Constitution</w:t>
      </w:r>
      <w:r w:rsidR="00CD4178">
        <w:t>. Unfortunately</w:t>
      </w:r>
      <w:r>
        <w:t xml:space="preserve"> current </w:t>
      </w:r>
      <w:r w:rsidR="00C65864">
        <w:t xml:space="preserve">urgent </w:t>
      </w:r>
      <w:r>
        <w:t xml:space="preserve">timescales mean the </w:t>
      </w:r>
      <w:r w:rsidR="00CD4178">
        <w:t>rent levels</w:t>
      </w:r>
      <w:r>
        <w:t xml:space="preserve"> for these first shared ownership properties will need to be agreed prior to the next </w:t>
      </w:r>
      <w:r w:rsidR="00CD4178">
        <w:t>scheduled meeting</w:t>
      </w:r>
      <w:r>
        <w:t xml:space="preserve"> </w:t>
      </w:r>
      <w:r w:rsidR="003B56E4">
        <w:t xml:space="preserve">of </w:t>
      </w:r>
      <w:r w:rsidR="00CD4178">
        <w:t>Cabinet and C</w:t>
      </w:r>
      <w:r>
        <w:t>ounc</w:t>
      </w:r>
      <w:r w:rsidR="00CD4178">
        <w:t>il</w:t>
      </w:r>
      <w:r>
        <w:t xml:space="preserve">. Therefore an urgent decision by the Chief </w:t>
      </w:r>
      <w:r w:rsidR="00CD4178">
        <w:t>Executive</w:t>
      </w:r>
      <w:r>
        <w:t xml:space="preserve"> needs to be made on the rent levels for the 25 initial units to allow for marketing and sale to avoid delay</w:t>
      </w:r>
      <w:r w:rsidR="00CD4178">
        <w:t>.</w:t>
      </w:r>
    </w:p>
    <w:p w14:paraId="712635C8" w14:textId="322AAEB6" w:rsidR="0066250E" w:rsidRDefault="0066250E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 w:rsidRPr="00F85A2A">
        <w:t>The original financial assum</w:t>
      </w:r>
      <w:r>
        <w:t>ption was that the rent</w:t>
      </w:r>
      <w:r w:rsidRPr="00F85A2A">
        <w:t xml:space="preserve"> level for the unsold </w:t>
      </w:r>
      <w:r>
        <w:t>share</w:t>
      </w:r>
      <w:r w:rsidRPr="00F85A2A">
        <w:t xml:space="preserve"> would be 2.75% of the value</w:t>
      </w:r>
      <w:r w:rsidR="00D36146">
        <w:t xml:space="preserve"> for the properties at Rose Hill</w:t>
      </w:r>
      <w:r w:rsidRPr="00F85A2A">
        <w:t>, but this would make the properties</w:t>
      </w:r>
      <w:r>
        <w:t xml:space="preserve"> more</w:t>
      </w:r>
      <w:r w:rsidRPr="00F85A2A">
        <w:t xml:space="preserve"> difficult to afford</w:t>
      </w:r>
      <w:r>
        <w:t xml:space="preserve"> and would not be in lin</w:t>
      </w:r>
      <w:r w:rsidR="00CD4178">
        <w:t>e with the 2% suggested by the Tenancy S</w:t>
      </w:r>
      <w:r>
        <w:t>trategy.  Therefore it</w:t>
      </w:r>
      <w:r w:rsidRPr="00F85A2A">
        <w:t xml:space="preserve"> is recommended that the rent level </w:t>
      </w:r>
      <w:r>
        <w:t>for these 25 units be set at</w:t>
      </w:r>
      <w:r w:rsidRPr="00F85A2A">
        <w:t xml:space="preserve"> 2%. </w:t>
      </w:r>
      <w:r w:rsidR="00CD4178">
        <w:t>Viability</w:t>
      </w:r>
      <w:r>
        <w:t xml:space="preserve"> </w:t>
      </w:r>
      <w:r w:rsidR="00CD4178">
        <w:t>calculations</w:t>
      </w:r>
      <w:r>
        <w:t xml:space="preserve"> and consideration on the </w:t>
      </w:r>
      <w:r w:rsidR="00CD4178">
        <w:t>financial</w:t>
      </w:r>
      <w:r>
        <w:t xml:space="preserve"> impact on the HRA, show for these 25 units that 2% would not have a </w:t>
      </w:r>
      <w:r w:rsidR="00CD4178">
        <w:t>significant</w:t>
      </w:r>
      <w:r>
        <w:t xml:space="preserve"> impact.</w:t>
      </w:r>
      <w:r w:rsidR="00147ABC">
        <w:t xml:space="preserve"> If we make the assumption that a 25% ownership share is taken out</w:t>
      </w:r>
      <w:r w:rsidR="00D838E9">
        <w:t xml:space="preserve"> on each unit</w:t>
      </w:r>
      <w:r w:rsidR="00147ABC">
        <w:t>,</w:t>
      </w:r>
      <w:r w:rsidR="00BF2E03">
        <w:t xml:space="preserve"> we can estimate</w:t>
      </w:r>
      <w:r w:rsidR="00147ABC">
        <w:t xml:space="preserve"> the 2% rent charged on the unsold share</w:t>
      </w:r>
      <w:r w:rsidR="00BF2E03">
        <w:t>s</w:t>
      </w:r>
      <w:r w:rsidR="00147ABC">
        <w:t xml:space="preserve"> would generate an annual rent of £102,224, which is £38,334 less than if the council instead charged 2.75%.</w:t>
      </w:r>
      <w:r w:rsidR="00BF2E03">
        <w:t xml:space="preserve"> It is not the policy of the council to charge 2.75% on shared ownership properties, so this difference in rental income is a correction to our financial assumptions.</w:t>
      </w:r>
    </w:p>
    <w:p w14:paraId="61EA2E78" w14:textId="0A67D219" w:rsidR="00D36146" w:rsidRDefault="00D36146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This urgent decision will </w:t>
      </w:r>
      <w:r w:rsidR="003B56E4">
        <w:t>permit</w:t>
      </w:r>
      <w:r>
        <w:t xml:space="preserve"> for a rent to be set for these shared ownership properties, allowing OCHL to move forward with the marketing with the risk of </w:t>
      </w:r>
      <w:r w:rsidR="003B56E4">
        <w:t xml:space="preserve">later </w:t>
      </w:r>
      <w:r>
        <w:t xml:space="preserve">changes to the advertised rent removed, </w:t>
      </w:r>
      <w:r w:rsidR="00325760">
        <w:t>creating</w:t>
      </w:r>
      <w:r>
        <w:t xml:space="preserve"> certainty for buyers, </w:t>
      </w:r>
      <w:r w:rsidR="00325760">
        <w:t xml:space="preserve">and </w:t>
      </w:r>
      <w:r>
        <w:t>increasing the likelihood of timely sales.</w:t>
      </w:r>
    </w:p>
    <w:p w14:paraId="70059253" w14:textId="6809BE77" w:rsidR="0066250E" w:rsidRDefault="00CD4178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 Alongside</w:t>
      </w:r>
      <w:r w:rsidR="0066250E">
        <w:t xml:space="preserve"> this urgent decision setting the rents for the 25 initial units at Rose Hill, a report will follow to June </w:t>
      </w:r>
      <w:r w:rsidR="00D36146">
        <w:t>C</w:t>
      </w:r>
      <w:r w:rsidR="0066250E">
        <w:t>abinet</w:t>
      </w:r>
      <w:r w:rsidR="00B61087">
        <w:t xml:space="preserve"> and then Council</w:t>
      </w:r>
      <w:r w:rsidR="0066250E">
        <w:t xml:space="preserve"> seeking to establish a clear policy position for the </w:t>
      </w:r>
      <w:r w:rsidR="00B61087">
        <w:t>C</w:t>
      </w:r>
      <w:r>
        <w:t xml:space="preserve">ity </w:t>
      </w:r>
      <w:r w:rsidR="00B61087">
        <w:t>C</w:t>
      </w:r>
      <w:r>
        <w:t xml:space="preserve">ouncil </w:t>
      </w:r>
      <w:r w:rsidR="00D36146">
        <w:t>on</w:t>
      </w:r>
      <w:r>
        <w:t xml:space="preserve"> ho</w:t>
      </w:r>
      <w:r w:rsidR="0066250E">
        <w:t>w</w:t>
      </w:r>
      <w:r>
        <w:t xml:space="preserve"> </w:t>
      </w:r>
      <w:r w:rsidR="0066250E">
        <w:t xml:space="preserve">it sets rents for its shared ownership </w:t>
      </w:r>
      <w:r>
        <w:t>properties</w:t>
      </w:r>
      <w:r w:rsidR="00D36146">
        <w:t xml:space="preserve"> in the future</w:t>
      </w:r>
      <w:r>
        <w:t xml:space="preserve">. This </w:t>
      </w:r>
      <w:r w:rsidR="00325760">
        <w:t xml:space="preserve">rent level </w:t>
      </w:r>
      <w:r>
        <w:t>will then be part of the</w:t>
      </w:r>
      <w:r w:rsidR="0066250E">
        <w:t xml:space="preserve"> annual </w:t>
      </w:r>
      <w:r>
        <w:t>budget</w:t>
      </w:r>
      <w:r w:rsidR="0066250E">
        <w:t xml:space="preserve"> process, which will consider the annual uprating of </w:t>
      </w:r>
      <w:r>
        <w:t xml:space="preserve">shared ownership </w:t>
      </w:r>
      <w:r w:rsidR="0066250E">
        <w:t xml:space="preserve">rents alongside </w:t>
      </w:r>
      <w:r w:rsidR="00D36146">
        <w:t>other</w:t>
      </w:r>
      <w:r w:rsidR="0066250E">
        <w:t xml:space="preserve"> rents the council sets.</w:t>
      </w:r>
    </w:p>
    <w:p w14:paraId="20CB671A" w14:textId="611C9F3B" w:rsidR="0066250E" w:rsidRDefault="0066250E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 Altern</w:t>
      </w:r>
      <w:r w:rsidR="00CD4178">
        <w:t>atives to this</w:t>
      </w:r>
      <w:r>
        <w:t xml:space="preserve"> urgent decision were explored. These include an emergency </w:t>
      </w:r>
      <w:r w:rsidR="00B61087">
        <w:t>C</w:t>
      </w:r>
      <w:r w:rsidR="00CD4178">
        <w:t>abinet</w:t>
      </w:r>
      <w:r>
        <w:t xml:space="preserve"> and </w:t>
      </w:r>
      <w:r w:rsidR="00B61087">
        <w:t>C</w:t>
      </w:r>
      <w:r>
        <w:t xml:space="preserve">ouncil called in April or May, but this was felt to be </w:t>
      </w:r>
      <w:r w:rsidR="00CD4178">
        <w:t xml:space="preserve">impractical, especially </w:t>
      </w:r>
      <w:r>
        <w:t>during a</w:t>
      </w:r>
      <w:r w:rsidR="00CD4178">
        <w:t>n</w:t>
      </w:r>
      <w:r>
        <w:t xml:space="preserve"> election</w:t>
      </w:r>
      <w:r w:rsidR="00CD4178">
        <w:t xml:space="preserve"> period</w:t>
      </w:r>
      <w:r>
        <w:t>. A</w:t>
      </w:r>
      <w:r w:rsidR="00CD4178">
        <w:t>n</w:t>
      </w:r>
      <w:r>
        <w:t xml:space="preserve"> alternative was to go ahead and market the properties at 2% rent, but this </w:t>
      </w:r>
      <w:r w:rsidR="00CD4178">
        <w:t>would carry</w:t>
      </w:r>
      <w:r w:rsidR="00411B53">
        <w:t xml:space="preserve"> risk that </w:t>
      </w:r>
      <w:r w:rsidR="00CD4178">
        <w:t>ultimately</w:t>
      </w:r>
      <w:r w:rsidR="00411B53">
        <w:t xml:space="preserve"> a different rent </w:t>
      </w:r>
      <w:r w:rsidR="00411B53">
        <w:lastRenderedPageBreak/>
        <w:t xml:space="preserve">may be agreed which would cause reputational damage to the council, and cause sales to fall through, </w:t>
      </w:r>
      <w:r w:rsidR="00CD4178">
        <w:t>with</w:t>
      </w:r>
      <w:r w:rsidR="00411B53">
        <w:t xml:space="preserve"> sales</w:t>
      </w:r>
      <w:r w:rsidR="00CD4178">
        <w:t xml:space="preserve"> ultimately</w:t>
      </w:r>
      <w:r w:rsidR="00411B53">
        <w:t xml:space="preserve"> not able to be completed until a decision made</w:t>
      </w:r>
      <w:r w:rsidR="00325760">
        <w:t xml:space="preserve"> anyway</w:t>
      </w:r>
      <w:r w:rsidR="00411B53">
        <w:t xml:space="preserve">. </w:t>
      </w:r>
    </w:p>
    <w:p w14:paraId="363F081E" w14:textId="77777777" w:rsidR="0066250E" w:rsidRPr="009842E0" w:rsidRDefault="0066250E" w:rsidP="0066250E">
      <w:pPr>
        <w:rPr>
          <w:b/>
        </w:rPr>
      </w:pPr>
      <w:r w:rsidRPr="009842E0">
        <w:rPr>
          <w:b/>
        </w:rPr>
        <w:t>Risk</w:t>
      </w:r>
    </w:p>
    <w:p w14:paraId="2B273F2A" w14:textId="77777777" w:rsidR="0066250E" w:rsidRDefault="0066250E" w:rsidP="0066250E">
      <w:pPr>
        <w:pStyle w:val="ListParagraph"/>
        <w:numPr>
          <w:ilvl w:val="0"/>
          <w:numId w:val="34"/>
        </w:numPr>
        <w:tabs>
          <w:tab w:val="clear" w:pos="426"/>
        </w:tabs>
        <w:spacing w:after="160" w:line="259" w:lineRule="auto"/>
        <w:contextualSpacing/>
      </w:pPr>
      <w:r>
        <w:t xml:space="preserve">There is considerable risk in not </w:t>
      </w:r>
      <w:r w:rsidR="00CD4178">
        <w:t>taking this</w:t>
      </w:r>
      <w:r>
        <w:t xml:space="preserve"> decision </w:t>
      </w:r>
      <w:r w:rsidR="00CD4178">
        <w:t xml:space="preserve">to </w:t>
      </w:r>
      <w:r>
        <w:t xml:space="preserve">set a rent for the shared ownership properties, with financial implications on the HRA with marketing and sales unable to proceed until a rent is agreed, and reputational damage on the organisation. </w:t>
      </w:r>
    </w:p>
    <w:p w14:paraId="7C59A085" w14:textId="77777777" w:rsidR="002329CF" w:rsidRDefault="002329CF" w:rsidP="0050321C">
      <w:pPr>
        <w:pStyle w:val="Heading1"/>
      </w:pPr>
      <w:r w:rsidRPr="001356F1">
        <w:t xml:space="preserve">Equalities impact </w:t>
      </w:r>
    </w:p>
    <w:p w14:paraId="1570199C" w14:textId="350776F5" w:rsidR="00411B53" w:rsidRDefault="00411B53" w:rsidP="00F115FE">
      <w:pPr>
        <w:pStyle w:val="ListParagraph"/>
        <w:numPr>
          <w:ilvl w:val="0"/>
          <w:numId w:val="34"/>
        </w:numPr>
      </w:pPr>
      <w:r>
        <w:t xml:space="preserve">Due to timescales, an Equalities Impact Assessment has not yet been completed, but will be completed as part of the establishment of a rent setting policy position for shared ownership properties which will go to June cabinet. </w:t>
      </w:r>
    </w:p>
    <w:p w14:paraId="089342ED" w14:textId="77777777" w:rsidR="00E206D6" w:rsidRPr="001356F1" w:rsidRDefault="00E206D6" w:rsidP="00411B53"/>
    <w:p w14:paraId="147B3BFE" w14:textId="77777777" w:rsidR="002329CF" w:rsidRPr="001356F1" w:rsidRDefault="002329CF" w:rsidP="004A6D2F"/>
    <w:tbl>
      <w:tblPr>
        <w:tblW w:w="0" w:type="auto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DF093E" w:rsidRPr="001356F1" w14:paraId="05E897A9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6B93419" w14:textId="77777777" w:rsidR="00E87F7A" w:rsidRPr="001356F1" w:rsidRDefault="00E87F7A" w:rsidP="00A46E98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07F19" w14:textId="77777777" w:rsidR="00E87F7A" w:rsidRPr="001356F1" w:rsidRDefault="00411B53" w:rsidP="00A46E98">
            <w:r>
              <w:t>Richard Wood</w:t>
            </w:r>
          </w:p>
        </w:tc>
      </w:tr>
      <w:tr w:rsidR="00DF093E" w:rsidRPr="001356F1" w14:paraId="7DC5A511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470EDD00" w14:textId="77777777" w:rsidR="00E87F7A" w:rsidRPr="001356F1" w:rsidRDefault="00E87F7A" w:rsidP="00A46E98">
            <w:r w:rsidRPr="001356F1">
              <w:t>Job title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0412218" w14:textId="77777777" w:rsidR="00E87F7A" w:rsidRPr="001356F1" w:rsidRDefault="00411B53" w:rsidP="00A46E98">
            <w:r>
              <w:t>Strategy and Service Development Manager</w:t>
            </w:r>
          </w:p>
        </w:tc>
      </w:tr>
      <w:tr w:rsidR="00DF093E" w:rsidRPr="001356F1" w14:paraId="56A0B768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225A7FC7" w14:textId="77777777" w:rsidR="00E87F7A" w:rsidRPr="001356F1" w:rsidRDefault="00E87F7A" w:rsidP="00A46E98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4E4BFDA" w14:textId="77777777" w:rsidR="00E87F7A" w:rsidRPr="001356F1" w:rsidRDefault="00411B53" w:rsidP="00A46E98">
            <w:r>
              <w:t>Housing Services</w:t>
            </w:r>
          </w:p>
        </w:tc>
      </w:tr>
      <w:tr w:rsidR="00DF093E" w:rsidRPr="001356F1" w14:paraId="0B8C782F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6EA8E6DF" w14:textId="77777777" w:rsidR="00E87F7A" w:rsidRPr="001356F1" w:rsidRDefault="00E87F7A" w:rsidP="00A46E98">
            <w:r w:rsidRPr="001356F1">
              <w:t xml:space="preserve">Telephone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0ADEDE6" w14:textId="77777777" w:rsidR="00E87F7A" w:rsidRPr="001356F1" w:rsidRDefault="00411B53" w:rsidP="00A46E98">
            <w:r>
              <w:t>01865 252002</w:t>
            </w:r>
          </w:p>
        </w:tc>
      </w:tr>
      <w:tr w:rsidR="005570B5" w:rsidRPr="001356F1" w14:paraId="0F22DCE3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EB5E92" w14:textId="77777777" w:rsidR="00E87F7A" w:rsidRPr="001356F1" w:rsidRDefault="00E87F7A" w:rsidP="00A46E98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7C30F" w14:textId="77777777" w:rsidR="00E87F7A" w:rsidRPr="001356F1" w:rsidRDefault="00411B53" w:rsidP="00A46E98">
            <w:pPr>
              <w:rPr>
                <w:rStyle w:val="Hyperlink"/>
                <w:color w:val="000000"/>
              </w:rPr>
            </w:pPr>
            <w:r>
              <w:rPr>
                <w:rStyle w:val="Hyperlink"/>
                <w:color w:val="000000"/>
              </w:rPr>
              <w:t>rwood@oxford.gov.uk</w:t>
            </w:r>
          </w:p>
        </w:tc>
      </w:tr>
    </w:tbl>
    <w:p w14:paraId="47809A0D" w14:textId="77777777" w:rsidR="00433B96" w:rsidRPr="001356F1" w:rsidRDefault="00433B96" w:rsidP="004A6D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093E" w:rsidRPr="001356F1" w14:paraId="1C5E9888" w14:textId="77777777" w:rsidTr="00A46E98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BA2B74C" w14:textId="77777777" w:rsidR="0093067A" w:rsidRPr="001356F1" w:rsidRDefault="00182B81" w:rsidP="00F41AC1">
            <w:r w:rsidRPr="001356F1">
              <w:rPr>
                <w:rStyle w:val="Firstpagetablebold"/>
              </w:rPr>
              <w:t xml:space="preserve">Background Papers: </w:t>
            </w:r>
            <w:r w:rsidRPr="001356F1">
              <w:rPr>
                <w:rStyle w:val="Firstpagetablebold"/>
                <w:b w:val="0"/>
              </w:rPr>
              <w:t>None</w:t>
            </w:r>
          </w:p>
        </w:tc>
      </w:tr>
    </w:tbl>
    <w:p w14:paraId="467F6AFD" w14:textId="77777777" w:rsidR="00CE4C87" w:rsidRDefault="00CE4C87" w:rsidP="0093067A">
      <w:bookmarkStart w:id="0" w:name="_GoBack"/>
      <w:bookmarkEnd w:id="0"/>
    </w:p>
    <w:p w14:paraId="213855DC" w14:textId="77777777" w:rsidR="004456DD" w:rsidRPr="009E51FC" w:rsidRDefault="004456DD" w:rsidP="0093067A"/>
    <w:sectPr w:rsidR="004456DD" w:rsidRPr="009E51FC" w:rsidSect="00BC200B">
      <w:footerReference w:type="even" r:id="rId11"/>
      <w:headerReference w:type="first" r:id="rId12"/>
      <w:footerReference w:type="first" r:id="rId13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4D892" w14:textId="77777777" w:rsidR="00B61087" w:rsidRDefault="00B61087" w:rsidP="004A6D2F">
      <w:r>
        <w:separator/>
      </w:r>
    </w:p>
  </w:endnote>
  <w:endnote w:type="continuationSeparator" w:id="0">
    <w:p w14:paraId="1002BC9D" w14:textId="77777777" w:rsidR="00B61087" w:rsidRDefault="00B61087" w:rsidP="004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AF3B" w14:textId="77777777" w:rsidR="00364FAD" w:rsidRDefault="00364FAD" w:rsidP="004A6D2F">
    <w:pPr>
      <w:pStyle w:val="Footer"/>
    </w:pPr>
    <w:r>
      <w:t>Do not use a footer or page numbers.</w:t>
    </w:r>
  </w:p>
  <w:p w14:paraId="7C6F3489" w14:textId="77777777" w:rsidR="00364FAD" w:rsidRDefault="00364FAD" w:rsidP="004A6D2F">
    <w:pPr>
      <w:pStyle w:val="Footer"/>
    </w:pPr>
  </w:p>
  <w:p w14:paraId="513F5E42" w14:textId="77777777" w:rsidR="00364FAD" w:rsidRDefault="00364FAD" w:rsidP="004A6D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AF76" w14:textId="77777777" w:rsidR="00A701B5" w:rsidRDefault="00745BF0" w:rsidP="004A6D2F">
    <w:pPr>
      <w:pStyle w:val="Footer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B882C" w14:textId="77777777" w:rsidR="00B61087" w:rsidRDefault="00B61087" w:rsidP="004A6D2F">
      <w:r>
        <w:separator/>
      </w:r>
    </w:p>
  </w:footnote>
  <w:footnote w:type="continuationSeparator" w:id="0">
    <w:p w14:paraId="4E2834D8" w14:textId="77777777" w:rsidR="00B61087" w:rsidRDefault="00B61087" w:rsidP="004A6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87664" w14:textId="77777777" w:rsidR="00D5547E" w:rsidRDefault="001638B5" w:rsidP="00D5547E">
    <w:pPr>
      <w:pStyle w:val="Header"/>
      <w:jc w:val="right"/>
    </w:pPr>
    <w:r>
      <w:rPr>
        <w:noProof/>
      </w:rPr>
      <w:drawing>
        <wp:inline distT="0" distB="0" distL="0" distR="0" wp14:anchorId="4BC142E7" wp14:editId="50307F05">
          <wp:extent cx="843280" cy="1117600"/>
          <wp:effectExtent l="0" t="0" r="0" b="6350"/>
          <wp:docPr id="1" name="Picture 1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C05EF"/>
    <w:multiLevelType w:val="multilevel"/>
    <w:tmpl w:val="43D6D2FA"/>
    <w:numStyleLink w:val="StyleBulletedSymbolsymbolLeft063cmHanging063cm"/>
  </w:abstractNum>
  <w:abstractNum w:abstractNumId="13" w15:restartNumberingAfterBreak="0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63A6A"/>
    <w:multiLevelType w:val="multilevel"/>
    <w:tmpl w:val="43D6D2FA"/>
    <w:numStyleLink w:val="StyleBulletedSymbolsymbolLeft063cmHanging063cm"/>
  </w:abstractNum>
  <w:abstractNum w:abstractNumId="18" w15:restartNumberingAfterBreak="0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A5FD8"/>
    <w:multiLevelType w:val="multilevel"/>
    <w:tmpl w:val="43D6D2FA"/>
    <w:numStyleLink w:val="StyleBulletedSymbolsymbolLeft063cmHanging063cm"/>
  </w:abstractNum>
  <w:abstractNum w:abstractNumId="27" w15:restartNumberingAfterBreak="0">
    <w:nsid w:val="5BE65BA5"/>
    <w:multiLevelType w:val="hybridMultilevel"/>
    <w:tmpl w:val="09D0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0232E"/>
    <w:multiLevelType w:val="hybridMultilevel"/>
    <w:tmpl w:val="37BED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22831"/>
    <w:multiLevelType w:val="multilevel"/>
    <w:tmpl w:val="43D6D2FA"/>
    <w:numStyleLink w:val="StyleBulletedSymbolsymbolLeft063cmHanging063cm"/>
  </w:abstractNum>
  <w:abstractNum w:abstractNumId="31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8365C6"/>
    <w:multiLevelType w:val="multilevel"/>
    <w:tmpl w:val="2A8EDD6A"/>
    <w:lvl w:ilvl="0">
      <w:start w:val="13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22"/>
  </w:num>
  <w:num w:numId="4">
    <w:abstractNumId w:val="18"/>
  </w:num>
  <w:num w:numId="5">
    <w:abstractNumId w:val="28"/>
  </w:num>
  <w:num w:numId="6">
    <w:abstractNumId w:val="33"/>
  </w:num>
  <w:num w:numId="7">
    <w:abstractNumId w:val="21"/>
  </w:num>
  <w:num w:numId="8">
    <w:abstractNumId w:val="19"/>
  </w:num>
  <w:num w:numId="9">
    <w:abstractNumId w:val="13"/>
  </w:num>
  <w:num w:numId="10">
    <w:abstractNumId w:val="15"/>
  </w:num>
  <w:num w:numId="11">
    <w:abstractNumId w:val="24"/>
  </w:num>
  <w:num w:numId="12">
    <w:abstractNumId w:val="23"/>
  </w:num>
  <w:num w:numId="13">
    <w:abstractNumId w:val="10"/>
  </w:num>
  <w:num w:numId="14">
    <w:abstractNumId w:val="34"/>
  </w:num>
  <w:num w:numId="15">
    <w:abstractNumId w:val="16"/>
  </w:num>
  <w:num w:numId="16">
    <w:abstractNumId w:val="11"/>
  </w:num>
  <w:num w:numId="17">
    <w:abstractNumId w:val="26"/>
  </w:num>
  <w:num w:numId="18">
    <w:abstractNumId w:val="12"/>
  </w:num>
  <w:num w:numId="19">
    <w:abstractNumId w:val="30"/>
  </w:num>
  <w:num w:numId="20">
    <w:abstractNumId w:val="17"/>
  </w:num>
  <w:num w:numId="21">
    <w:abstractNumId w:val="20"/>
  </w:num>
  <w:num w:numId="22">
    <w:abstractNumId w:val="14"/>
  </w:num>
  <w:num w:numId="23">
    <w:abstractNumId w:val="31"/>
  </w:num>
  <w:num w:numId="24">
    <w:abstractNumId w:val="9"/>
  </w:num>
  <w:num w:numId="25">
    <w:abstractNumId w:val="8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7"/>
  </w:num>
  <w:num w:numId="3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edit="trackedChanges" w:enforcement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87"/>
    <w:rsid w:val="000117D4"/>
    <w:rsid w:val="000314D7"/>
    <w:rsid w:val="00045F8B"/>
    <w:rsid w:val="00046D2B"/>
    <w:rsid w:val="00056263"/>
    <w:rsid w:val="00064D8A"/>
    <w:rsid w:val="00064F82"/>
    <w:rsid w:val="00066510"/>
    <w:rsid w:val="00077523"/>
    <w:rsid w:val="000C089F"/>
    <w:rsid w:val="000C3928"/>
    <w:rsid w:val="000C5E8E"/>
    <w:rsid w:val="000F4751"/>
    <w:rsid w:val="0010524C"/>
    <w:rsid w:val="00111FB1"/>
    <w:rsid w:val="00113418"/>
    <w:rsid w:val="001356F1"/>
    <w:rsid w:val="00136994"/>
    <w:rsid w:val="0014128E"/>
    <w:rsid w:val="00147ABC"/>
    <w:rsid w:val="00151888"/>
    <w:rsid w:val="001638B5"/>
    <w:rsid w:val="00170A2D"/>
    <w:rsid w:val="001752AD"/>
    <w:rsid w:val="001808BC"/>
    <w:rsid w:val="00182B81"/>
    <w:rsid w:val="0018619D"/>
    <w:rsid w:val="001A011E"/>
    <w:rsid w:val="001A066A"/>
    <w:rsid w:val="001A13E6"/>
    <w:rsid w:val="001A5731"/>
    <w:rsid w:val="001B42C3"/>
    <w:rsid w:val="001C5D5E"/>
    <w:rsid w:val="001D678D"/>
    <w:rsid w:val="001E03F8"/>
    <w:rsid w:val="001E1678"/>
    <w:rsid w:val="001E3376"/>
    <w:rsid w:val="002069B3"/>
    <w:rsid w:val="002329CF"/>
    <w:rsid w:val="00232F5B"/>
    <w:rsid w:val="00247C29"/>
    <w:rsid w:val="00260467"/>
    <w:rsid w:val="00263EA3"/>
    <w:rsid w:val="00284F85"/>
    <w:rsid w:val="00290915"/>
    <w:rsid w:val="002A22E2"/>
    <w:rsid w:val="002C64F7"/>
    <w:rsid w:val="002F41F2"/>
    <w:rsid w:val="00301BF3"/>
    <w:rsid w:val="0030208D"/>
    <w:rsid w:val="00314B2D"/>
    <w:rsid w:val="00323418"/>
    <w:rsid w:val="00325760"/>
    <w:rsid w:val="003357BF"/>
    <w:rsid w:val="00364FAD"/>
    <w:rsid w:val="0036738F"/>
    <w:rsid w:val="0036759C"/>
    <w:rsid w:val="00367AE5"/>
    <w:rsid w:val="00367D71"/>
    <w:rsid w:val="0038150A"/>
    <w:rsid w:val="003B56E4"/>
    <w:rsid w:val="003B6E75"/>
    <w:rsid w:val="003B7DA1"/>
    <w:rsid w:val="003D0379"/>
    <w:rsid w:val="003D2574"/>
    <w:rsid w:val="003D4C59"/>
    <w:rsid w:val="003E464A"/>
    <w:rsid w:val="003F4267"/>
    <w:rsid w:val="00404032"/>
    <w:rsid w:val="0040736F"/>
    <w:rsid w:val="00411B53"/>
    <w:rsid w:val="00412C1F"/>
    <w:rsid w:val="00421CB2"/>
    <w:rsid w:val="004268B9"/>
    <w:rsid w:val="00433B96"/>
    <w:rsid w:val="004440F1"/>
    <w:rsid w:val="004456DD"/>
    <w:rsid w:val="00446CDF"/>
    <w:rsid w:val="004521B7"/>
    <w:rsid w:val="00462AB5"/>
    <w:rsid w:val="00465EAF"/>
    <w:rsid w:val="004738C5"/>
    <w:rsid w:val="00477F07"/>
    <w:rsid w:val="00491046"/>
    <w:rsid w:val="004A2AC7"/>
    <w:rsid w:val="004A6D2F"/>
    <w:rsid w:val="004C2887"/>
    <w:rsid w:val="004D2626"/>
    <w:rsid w:val="004D6E26"/>
    <w:rsid w:val="004D77D3"/>
    <w:rsid w:val="004E2959"/>
    <w:rsid w:val="004F20EF"/>
    <w:rsid w:val="0050321C"/>
    <w:rsid w:val="00504CD1"/>
    <w:rsid w:val="0054712D"/>
    <w:rsid w:val="00547EF6"/>
    <w:rsid w:val="00551C98"/>
    <w:rsid w:val="005570B5"/>
    <w:rsid w:val="00567E18"/>
    <w:rsid w:val="00575F5F"/>
    <w:rsid w:val="00581805"/>
    <w:rsid w:val="00585F76"/>
    <w:rsid w:val="005A34E4"/>
    <w:rsid w:val="005B17F2"/>
    <w:rsid w:val="005B7FB0"/>
    <w:rsid w:val="005C35A5"/>
    <w:rsid w:val="005C577C"/>
    <w:rsid w:val="005D0621"/>
    <w:rsid w:val="005D1E27"/>
    <w:rsid w:val="005D2A3E"/>
    <w:rsid w:val="005E022E"/>
    <w:rsid w:val="005E5215"/>
    <w:rsid w:val="005F6ABF"/>
    <w:rsid w:val="005F7F7E"/>
    <w:rsid w:val="00614693"/>
    <w:rsid w:val="00623C2F"/>
    <w:rsid w:val="0062450C"/>
    <w:rsid w:val="00633578"/>
    <w:rsid w:val="00637068"/>
    <w:rsid w:val="00650811"/>
    <w:rsid w:val="00661D3E"/>
    <w:rsid w:val="0066250E"/>
    <w:rsid w:val="00692627"/>
    <w:rsid w:val="006969E7"/>
    <w:rsid w:val="006A3643"/>
    <w:rsid w:val="006C2A29"/>
    <w:rsid w:val="006C64CF"/>
    <w:rsid w:val="006D17B1"/>
    <w:rsid w:val="006D4752"/>
    <w:rsid w:val="006D708A"/>
    <w:rsid w:val="006E14C1"/>
    <w:rsid w:val="006F0292"/>
    <w:rsid w:val="006F27FA"/>
    <w:rsid w:val="006F416B"/>
    <w:rsid w:val="006F519B"/>
    <w:rsid w:val="00713675"/>
    <w:rsid w:val="00715823"/>
    <w:rsid w:val="00737B93"/>
    <w:rsid w:val="007436BC"/>
    <w:rsid w:val="00745BF0"/>
    <w:rsid w:val="007615FE"/>
    <w:rsid w:val="0076655C"/>
    <w:rsid w:val="007742DC"/>
    <w:rsid w:val="00791437"/>
    <w:rsid w:val="007A111E"/>
    <w:rsid w:val="007B0C2C"/>
    <w:rsid w:val="007B278E"/>
    <w:rsid w:val="007C5C23"/>
    <w:rsid w:val="007E2A26"/>
    <w:rsid w:val="007F2348"/>
    <w:rsid w:val="00803F07"/>
    <w:rsid w:val="0080749A"/>
    <w:rsid w:val="00821FB8"/>
    <w:rsid w:val="00822ACD"/>
    <w:rsid w:val="00855C66"/>
    <w:rsid w:val="00871EE4"/>
    <w:rsid w:val="008B293F"/>
    <w:rsid w:val="008B7371"/>
    <w:rsid w:val="008D3DDB"/>
    <w:rsid w:val="008F573F"/>
    <w:rsid w:val="009034EC"/>
    <w:rsid w:val="0093067A"/>
    <w:rsid w:val="00941C60"/>
    <w:rsid w:val="00941FD1"/>
    <w:rsid w:val="009515C4"/>
    <w:rsid w:val="00966D42"/>
    <w:rsid w:val="00971689"/>
    <w:rsid w:val="00973E90"/>
    <w:rsid w:val="00975B07"/>
    <w:rsid w:val="00980B4A"/>
    <w:rsid w:val="009B1CDE"/>
    <w:rsid w:val="009E3D0A"/>
    <w:rsid w:val="009E51FC"/>
    <w:rsid w:val="009F1D28"/>
    <w:rsid w:val="009F7618"/>
    <w:rsid w:val="00A04D23"/>
    <w:rsid w:val="00A06766"/>
    <w:rsid w:val="00A13765"/>
    <w:rsid w:val="00A21B12"/>
    <w:rsid w:val="00A23F80"/>
    <w:rsid w:val="00A46E98"/>
    <w:rsid w:val="00A6352B"/>
    <w:rsid w:val="00A701B5"/>
    <w:rsid w:val="00A714BB"/>
    <w:rsid w:val="00A77147"/>
    <w:rsid w:val="00A92D8F"/>
    <w:rsid w:val="00AB2988"/>
    <w:rsid w:val="00AB7999"/>
    <w:rsid w:val="00AD3292"/>
    <w:rsid w:val="00AE7AF0"/>
    <w:rsid w:val="00B500CA"/>
    <w:rsid w:val="00B61087"/>
    <w:rsid w:val="00B86314"/>
    <w:rsid w:val="00BA1C2E"/>
    <w:rsid w:val="00BC200B"/>
    <w:rsid w:val="00BC4756"/>
    <w:rsid w:val="00BC69A4"/>
    <w:rsid w:val="00BD77A8"/>
    <w:rsid w:val="00BE0680"/>
    <w:rsid w:val="00BE305F"/>
    <w:rsid w:val="00BE7BA3"/>
    <w:rsid w:val="00BF2E03"/>
    <w:rsid w:val="00BF5682"/>
    <w:rsid w:val="00BF7B09"/>
    <w:rsid w:val="00C20A95"/>
    <w:rsid w:val="00C2692F"/>
    <w:rsid w:val="00C3207C"/>
    <w:rsid w:val="00C400E1"/>
    <w:rsid w:val="00C41187"/>
    <w:rsid w:val="00C63C31"/>
    <w:rsid w:val="00C65864"/>
    <w:rsid w:val="00C757A0"/>
    <w:rsid w:val="00C760DE"/>
    <w:rsid w:val="00C82630"/>
    <w:rsid w:val="00C85B4E"/>
    <w:rsid w:val="00C907F7"/>
    <w:rsid w:val="00CA2103"/>
    <w:rsid w:val="00CB6B99"/>
    <w:rsid w:val="00CD4178"/>
    <w:rsid w:val="00CE4C87"/>
    <w:rsid w:val="00CE544A"/>
    <w:rsid w:val="00D11E1C"/>
    <w:rsid w:val="00D160B0"/>
    <w:rsid w:val="00D17F94"/>
    <w:rsid w:val="00D223FC"/>
    <w:rsid w:val="00D26D1E"/>
    <w:rsid w:val="00D36146"/>
    <w:rsid w:val="00D474CF"/>
    <w:rsid w:val="00D5547E"/>
    <w:rsid w:val="00D838E9"/>
    <w:rsid w:val="00D860E2"/>
    <w:rsid w:val="00D869A1"/>
    <w:rsid w:val="00DA413F"/>
    <w:rsid w:val="00DA4584"/>
    <w:rsid w:val="00DA614B"/>
    <w:rsid w:val="00DB7AD7"/>
    <w:rsid w:val="00DC3060"/>
    <w:rsid w:val="00DD2627"/>
    <w:rsid w:val="00DE0FB2"/>
    <w:rsid w:val="00DF093E"/>
    <w:rsid w:val="00E01F42"/>
    <w:rsid w:val="00E206D6"/>
    <w:rsid w:val="00E3366E"/>
    <w:rsid w:val="00E52086"/>
    <w:rsid w:val="00E543A6"/>
    <w:rsid w:val="00E60479"/>
    <w:rsid w:val="00E61D73"/>
    <w:rsid w:val="00E73684"/>
    <w:rsid w:val="00E73CA1"/>
    <w:rsid w:val="00E818D6"/>
    <w:rsid w:val="00E87F7A"/>
    <w:rsid w:val="00E94B3E"/>
    <w:rsid w:val="00E96BD7"/>
    <w:rsid w:val="00EA0DB1"/>
    <w:rsid w:val="00EA0EE9"/>
    <w:rsid w:val="00ED52CA"/>
    <w:rsid w:val="00ED5860"/>
    <w:rsid w:val="00EE35C9"/>
    <w:rsid w:val="00F05ECA"/>
    <w:rsid w:val="00F115FE"/>
    <w:rsid w:val="00F3566E"/>
    <w:rsid w:val="00F375FB"/>
    <w:rsid w:val="00F41AC1"/>
    <w:rsid w:val="00F4367A"/>
    <w:rsid w:val="00F445B1"/>
    <w:rsid w:val="00F45CD4"/>
    <w:rsid w:val="00F66DCA"/>
    <w:rsid w:val="00F74F53"/>
    <w:rsid w:val="00F7606D"/>
    <w:rsid w:val="00F81670"/>
    <w:rsid w:val="00F82024"/>
    <w:rsid w:val="00F85AD3"/>
    <w:rsid w:val="00F95BC9"/>
    <w:rsid w:val="00FA624C"/>
    <w:rsid w:val="00FD0FAC"/>
    <w:rsid w:val="00FD1DFA"/>
    <w:rsid w:val="00FD4966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7216698"/>
  <w15:docId w15:val="{F2FC2315-4B28-4A80-BFB1-92216CAB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16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14"/>
      </w:num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3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15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23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7BD3E2B40EE4B99233DA35941ABA9" ma:contentTypeVersion="2" ma:contentTypeDescription="Create a new document." ma:contentTypeScope="" ma:versionID="895af6ef96fcc1cbabbdf95133144ad3">
  <xsd:schema xmlns:xsd="http://www.w3.org/2001/XMLSchema" xmlns:xs="http://www.w3.org/2001/XMLSchema" xmlns:p="http://schemas.microsoft.com/office/2006/metadata/properties" xmlns:ns2="fdb8f1d2-729e-4e17-b922-d1876d49c6d9" targetNamespace="http://schemas.microsoft.com/office/2006/metadata/properties" ma:root="true" ma:fieldsID="0fdd767a2e81157f99857a0e1af04e18" ns2:_="">
    <xsd:import namespace="fdb8f1d2-729e-4e17-b922-d1876d49c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f1d2-729e-4e17-b922-d1876d49c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DCC2-8C65-4825-B5B5-63FB39CD166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db8f1d2-729e-4e17-b922-d1876d49c6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80F00B-2467-473D-B5F5-A06E841BB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CFA0-F214-4A7B-82AD-109115D3F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8f1d2-729e-4e17-b922-d1876d49c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BF7B8-7302-48C1-92CD-D8E8CDE3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784C0F46</Template>
  <TotalTime>38</TotalTime>
  <Pages>4</Pages>
  <Words>1457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sclarke</dc:creator>
  <cp:lastModifiedBy>MITCHELL John</cp:lastModifiedBy>
  <cp:revision>9</cp:revision>
  <cp:lastPrinted>2015-07-03T12:50:00Z</cp:lastPrinted>
  <dcterms:created xsi:type="dcterms:W3CDTF">2021-04-12T15:24:00Z</dcterms:created>
  <dcterms:modified xsi:type="dcterms:W3CDTF">2021-04-23T11:19:00Z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0x01010045D7BD3E2B40EE4B99233DA35941ABA9</vt:lpwstr>
  </property>
</Properties>
</file>